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宋体" w:eastAsia="方正小标宋_GBK"/>
          <w:color w:val="FF0000"/>
          <w:w w:val="22"/>
          <w:sz w:val="154"/>
          <w:szCs w:val="106"/>
        </w:rPr>
      </w:pPr>
      <w:r>
        <w:rPr>
          <w:rFonts w:hint="eastAsia" w:ascii="方正小标宋_GBK" w:hAnsi="宋体" w:eastAsia="方正小标宋_GBK"/>
          <w:color w:val="FF0000"/>
          <w:w w:val="22"/>
          <w:sz w:val="160"/>
          <w:szCs w:val="160"/>
        </w:rPr>
        <w:t>中共安徽财经大学后勤管理服务中心总支部委员会文件</w:t>
      </w:r>
    </w:p>
    <w:p>
      <w:pPr>
        <w:jc w:val="center"/>
        <w:rPr>
          <w:rFonts w:hint="eastAsia" w:ascii="仿宋" w:hAnsi="仿宋" w:eastAsia="仿宋"/>
          <w:sz w:val="32"/>
          <w:szCs w:val="32"/>
        </w:rPr>
      </w:pPr>
      <w:r>
        <w:rPr>
          <w:rFonts w:hint="eastAsia" w:ascii="仿宋" w:hAnsi="仿宋" w:eastAsia="仿宋"/>
          <w:sz w:val="32"/>
          <w:szCs w:val="32"/>
        </w:rPr>
        <w:t>安财后党</w:t>
      </w:r>
      <w:r>
        <w:rPr>
          <w:rFonts w:ascii="仿宋" w:hAnsi="仿宋" w:eastAsia="仿宋"/>
          <w:sz w:val="32"/>
          <w:szCs w:val="32"/>
        </w:rPr>
        <w:t>〔</w:t>
      </w:r>
      <w:r>
        <w:rPr>
          <w:rFonts w:hint="eastAsia" w:ascii="仿宋" w:hAnsi="仿宋" w:eastAsia="仿宋"/>
          <w:sz w:val="32"/>
          <w:szCs w:val="32"/>
        </w:rPr>
        <w:t>2023</w:t>
      </w:r>
      <w:r>
        <w:rPr>
          <w:rFonts w:ascii="仿宋" w:hAnsi="仿宋" w:eastAsia="仿宋"/>
          <w:sz w:val="32"/>
          <w:szCs w:val="32"/>
        </w:rPr>
        <w:t>〕</w:t>
      </w:r>
      <w:r>
        <w:rPr>
          <w:rFonts w:hint="eastAsia" w:ascii="仿宋" w:hAnsi="仿宋" w:eastAsia="仿宋"/>
          <w:sz w:val="32"/>
          <w:szCs w:val="32"/>
        </w:rPr>
        <w:t>5号</w:t>
      </w:r>
    </w:p>
    <w:p>
      <w:pPr>
        <w:adjustRightInd w:val="0"/>
        <w:snapToGrid w:val="0"/>
        <w:spacing w:after="312" w:afterLines="100"/>
        <w:jc w:val="center"/>
        <w:rPr>
          <w:rFonts w:hint="eastAsia" w:ascii="仿宋" w:hAnsi="仿宋" w:eastAsia="仿宋"/>
          <w:sz w:val="30"/>
          <w:szCs w:val="30"/>
        </w:rPr>
      </w:pPr>
      <w:r>
        <w:rPr>
          <w:rFonts w:hint="eastAsia" w:ascii="仿宋" w:hAnsi="仿宋" w:eastAsia="仿宋"/>
          <w:sz w:val="30"/>
          <w:szCs w:val="30"/>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159385</wp:posOffset>
                </wp:positionV>
                <wp:extent cx="5547360" cy="24765"/>
                <wp:effectExtent l="0" t="19050" r="2540" b="19685"/>
                <wp:wrapNone/>
                <wp:docPr id="1" name="自选图形 2"/>
                <wp:cNvGraphicFramePr/>
                <a:graphic xmlns:a="http://schemas.openxmlformats.org/drawingml/2006/main">
                  <a:graphicData uri="http://schemas.microsoft.com/office/word/2010/wordprocessingShape">
                    <wps:wsp>
                      <wps:cNvCnPr/>
                      <wps:spPr>
                        <a:xfrm flipV="1">
                          <a:off x="0" y="0"/>
                          <a:ext cx="5547360" cy="2476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2.3pt;margin-top:12.55pt;height:1.95pt;width:436.8pt;z-index:251659264;mso-width-relative:page;mso-height-relative:page;" filled="f" stroked="t" coordsize="21600,21600" o:gfxdata="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eLOszWAAAABwEAAA8AAAAAAAAAAQAgAAAAIgAAAGRycy9kb3du&#10;cmV2LnhtbFBLAQIUABQAAAAIAIdO4kAJYv/VAQIAAPIDAAAOAAAAAAAAAAEAIAAAACUBAABkcnMv&#10;ZTJvRG9jLnhtbFBLBQYAAAAABgAGAFkBAACYBQAAAAA=&#10;">
                <v:fill on="f" focussize="0,0"/>
                <v:stroke weight="3pt" color="#FF0000" joinstyle="round"/>
                <v:imagedata o:title=""/>
                <o:lock v:ext="edit" aspectratio="f"/>
              </v:shape>
            </w:pict>
          </mc:Fallback>
        </mc:AlternateContent>
      </w:r>
    </w:p>
    <w:p>
      <w:pPr>
        <w:spacing w:line="560" w:lineRule="exact"/>
        <w:jc w:val="center"/>
        <w:rPr>
          <w:rFonts w:hint="eastAsia" w:ascii="华文中宋" w:hAnsi="华文中宋" w:eastAsia="华文中宋" w:cs="华文中宋"/>
          <w:b/>
          <w:bCs/>
          <w:sz w:val="44"/>
          <w:szCs w:val="44"/>
        </w:rPr>
      </w:pPr>
    </w:p>
    <w:p>
      <w:pPr>
        <w:spacing w:line="560" w:lineRule="exact"/>
        <w:jc w:val="center"/>
        <w:rPr>
          <w:rFonts w:ascii="华文中宋" w:hAnsi="华文中宋" w:eastAsia="华文中宋" w:cs="华文中宋"/>
          <w:b/>
          <w:bCs/>
          <w:color w:val="000000" w:themeColor="text1"/>
          <w:sz w:val="44"/>
          <w:szCs w:val="44"/>
          <w14:textFill>
            <w14:solidFill>
              <w14:schemeClr w14:val="tx1"/>
            </w14:solidFill>
          </w14:textFill>
        </w:rPr>
      </w:pPr>
      <w:r>
        <w:rPr>
          <w:rFonts w:hint="eastAsia" w:ascii="华文中宋" w:hAnsi="华文中宋" w:eastAsia="华文中宋" w:cs="华文中宋"/>
          <w:b/>
          <w:bCs/>
          <w:sz w:val="44"/>
          <w:szCs w:val="44"/>
        </w:rPr>
        <w:t>关于后勤管理服务中心内设机构主管岗</w:t>
      </w:r>
      <w:r>
        <w:rPr>
          <w:rFonts w:hint="eastAsia" w:ascii="华文中宋" w:hAnsi="华文中宋" w:eastAsia="华文中宋" w:cs="华文中宋"/>
          <w:b/>
          <w:bCs/>
          <w:color w:val="000000" w:themeColor="text1"/>
          <w:sz w:val="44"/>
          <w:szCs w:val="44"/>
          <w14:textFill>
            <w14:solidFill>
              <w14:schemeClr w14:val="tx1"/>
            </w14:solidFill>
          </w14:textFill>
        </w:rPr>
        <w:t>管理</w:t>
      </w:r>
    </w:p>
    <w:p>
      <w:pPr>
        <w:spacing w:line="560" w:lineRule="exact"/>
        <w:jc w:val="center"/>
        <w:rPr>
          <w:rFonts w:hint="eastAsia" w:ascii="华文中宋" w:hAnsi="华文中宋" w:eastAsia="华文中宋" w:cs="华文中宋"/>
          <w:b/>
          <w:bCs/>
          <w:color w:val="000000" w:themeColor="text1"/>
          <w:sz w:val="44"/>
          <w:szCs w:val="44"/>
          <w14:textFill>
            <w14:solidFill>
              <w14:schemeClr w14:val="tx1"/>
            </w14:solidFill>
          </w14:textFill>
        </w:rPr>
      </w:pPr>
      <w:r>
        <w:rPr>
          <w:rFonts w:hint="eastAsia" w:ascii="华文中宋" w:hAnsi="华文中宋" w:eastAsia="华文中宋" w:cs="华文中宋"/>
          <w:b/>
          <w:bCs/>
          <w:color w:val="000000" w:themeColor="text1"/>
          <w:sz w:val="44"/>
          <w:szCs w:val="44"/>
          <w14:textFill>
            <w14:solidFill>
              <w14:schemeClr w14:val="tx1"/>
            </w14:solidFill>
          </w14:textFill>
        </w:rPr>
        <w:t>人员聘期考核的通知</w:t>
      </w:r>
    </w:p>
    <w:p>
      <w:pPr>
        <w:widowControl/>
        <w:spacing w:before="468" w:beforeLines="150" w:line="600" w:lineRule="exact"/>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color w:val="000000"/>
          <w:spacing w:val="15"/>
          <w:kern w:val="0"/>
          <w:sz w:val="28"/>
          <w:szCs w:val="28"/>
        </w:rPr>
        <w:t>各党支部、各内设机构：</w:t>
      </w:r>
      <w:bookmarkStart w:id="1" w:name="_GoBack"/>
      <w:bookmarkEnd w:id="1"/>
    </w:p>
    <w:p>
      <w:pPr>
        <w:widowControl/>
        <w:spacing w:line="600" w:lineRule="exact"/>
        <w:ind w:firstLine="697" w:firstLineChars="225"/>
        <w:rPr>
          <w:rFonts w:ascii="仿宋_GB2312" w:hAnsi="仿宋_GB2312" w:eastAsia="仿宋_GB2312" w:cs="仿宋_GB2312"/>
          <w:color w:val="000000"/>
          <w:spacing w:val="15"/>
          <w:kern w:val="0"/>
          <w:sz w:val="28"/>
          <w:szCs w:val="28"/>
        </w:rPr>
      </w:pPr>
      <w:bookmarkStart w:id="0" w:name="baidusnap1"/>
      <w:bookmarkEnd w:id="0"/>
      <w:r>
        <w:rPr>
          <w:rFonts w:hint="eastAsia" w:ascii="仿宋_GB2312" w:hAnsi="仿宋_GB2312" w:eastAsia="仿宋_GB2312" w:cs="仿宋_GB2312"/>
          <w:color w:val="000000"/>
          <w:spacing w:val="15"/>
          <w:kern w:val="0"/>
          <w:sz w:val="28"/>
          <w:szCs w:val="28"/>
        </w:rPr>
        <w:t>为了全面、客观、准确地评价主管岗（原</w:t>
      </w:r>
      <w:r>
        <w:rPr>
          <w:rFonts w:hint="eastAsia" w:ascii="仿宋_GB2312" w:hAnsi="仿宋_GB2312" w:eastAsia="仿宋_GB2312" w:cs="仿宋_GB2312"/>
          <w:color w:val="000000"/>
          <w:spacing w:val="15"/>
          <w:kern w:val="0"/>
          <w:sz w:val="28"/>
          <w:szCs w:val="28"/>
          <w:lang w:val="en-US" w:eastAsia="zh-CN"/>
        </w:rPr>
        <w:t>管理岗</w:t>
      </w:r>
      <w:r>
        <w:rPr>
          <w:rFonts w:hint="eastAsia" w:ascii="仿宋_GB2312" w:hAnsi="仿宋_GB2312" w:eastAsia="仿宋_GB2312" w:cs="仿宋_GB2312"/>
          <w:color w:val="000000"/>
          <w:spacing w:val="15"/>
          <w:kern w:val="0"/>
          <w:sz w:val="28"/>
          <w:szCs w:val="28"/>
        </w:rPr>
        <w:t>六级）管理人员2020年至2022年聘期内履行岗位职责以及学习、思想、作风和廉洁自律等方面的情况，经中心党政联席会议研究，决定对主管岗管理人员进行聘期考核工作，现将有关事项通知如下：</w:t>
      </w:r>
    </w:p>
    <w:p>
      <w:pPr>
        <w:widowControl/>
        <w:spacing w:line="600" w:lineRule="exact"/>
        <w:ind w:firstLine="700" w:firstLineChars="225"/>
        <w:rPr>
          <w:rFonts w:ascii="仿宋_GB2312" w:hAnsi="仿宋_GB2312" w:eastAsia="仿宋_GB2312" w:cs="仿宋_GB2312"/>
          <w:b/>
          <w:bCs/>
          <w:color w:val="000000"/>
          <w:spacing w:val="15"/>
          <w:kern w:val="0"/>
          <w:sz w:val="28"/>
          <w:szCs w:val="28"/>
        </w:rPr>
      </w:pPr>
      <w:r>
        <w:rPr>
          <w:rFonts w:hint="eastAsia" w:ascii="仿宋_GB2312" w:hAnsi="仿宋_GB2312" w:eastAsia="仿宋_GB2312" w:cs="仿宋_GB2312"/>
          <w:b/>
          <w:bCs/>
          <w:color w:val="000000"/>
          <w:spacing w:val="15"/>
          <w:kern w:val="0"/>
          <w:sz w:val="28"/>
          <w:szCs w:val="28"/>
        </w:rPr>
        <w:t>一、考核对象</w:t>
      </w:r>
    </w:p>
    <w:p>
      <w:pPr>
        <w:widowControl/>
        <w:spacing w:line="600" w:lineRule="exact"/>
        <w:ind w:firstLine="697" w:firstLineChars="225"/>
        <w:rPr>
          <w:rFonts w:ascii="仿宋_GB2312" w:hAnsi="仿宋_GB2312" w:eastAsia="仿宋_GB2312" w:cs="仿宋_GB2312"/>
          <w:color w:val="000000"/>
          <w:spacing w:val="15"/>
          <w:kern w:val="0"/>
          <w:sz w:val="28"/>
          <w:szCs w:val="28"/>
        </w:rPr>
      </w:pPr>
      <w:r>
        <w:rPr>
          <w:rFonts w:hint="eastAsia" w:ascii="仿宋_GB2312" w:hAnsi="仿宋_GB2312" w:eastAsia="仿宋_GB2312" w:cs="仿宋_GB2312"/>
          <w:color w:val="000000"/>
          <w:spacing w:val="15"/>
          <w:kern w:val="0"/>
          <w:sz w:val="28"/>
          <w:szCs w:val="28"/>
        </w:rPr>
        <w:t>内设机构主管岗（原</w:t>
      </w:r>
      <w:r>
        <w:rPr>
          <w:rFonts w:hint="eastAsia" w:ascii="仿宋_GB2312" w:hAnsi="仿宋_GB2312" w:eastAsia="仿宋_GB2312" w:cs="仿宋_GB2312"/>
          <w:color w:val="000000"/>
          <w:spacing w:val="15"/>
          <w:kern w:val="0"/>
          <w:sz w:val="28"/>
          <w:szCs w:val="28"/>
          <w:lang w:val="en-US" w:eastAsia="zh-CN"/>
        </w:rPr>
        <w:t>管理岗</w:t>
      </w:r>
      <w:r>
        <w:rPr>
          <w:rFonts w:hint="eastAsia" w:ascii="仿宋_GB2312" w:hAnsi="仿宋_GB2312" w:eastAsia="仿宋_GB2312" w:cs="仿宋_GB2312"/>
          <w:color w:val="000000"/>
          <w:spacing w:val="15"/>
          <w:kern w:val="0"/>
          <w:sz w:val="28"/>
          <w:szCs w:val="28"/>
        </w:rPr>
        <w:t>六级）管理人员。</w:t>
      </w:r>
    </w:p>
    <w:p>
      <w:pPr>
        <w:widowControl/>
        <w:spacing w:line="600" w:lineRule="exact"/>
        <w:ind w:firstLine="700" w:firstLineChars="225"/>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b/>
          <w:bCs/>
          <w:color w:val="000000"/>
          <w:spacing w:val="15"/>
          <w:kern w:val="0"/>
          <w:sz w:val="28"/>
          <w:szCs w:val="28"/>
        </w:rPr>
        <w:t>二、考核内容</w:t>
      </w:r>
    </w:p>
    <w:p>
      <w:pPr>
        <w:widowControl/>
        <w:shd w:val="clear" w:color="auto" w:fill="FFFFFF"/>
        <w:spacing w:line="600" w:lineRule="exact"/>
        <w:ind w:firstLine="640"/>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color w:val="000000"/>
          <w:spacing w:val="15"/>
          <w:kern w:val="0"/>
          <w:sz w:val="28"/>
          <w:szCs w:val="28"/>
        </w:rPr>
        <w:t>考核主管岗管理人员在贯彻执行党的路线方针政策和中心党政各项决议决定，在德、能、勤、绩、廉等方面的综合表现。重点考核主管岗管理人员的政治素养、履行岗位职责情况以及工作实绩。</w:t>
      </w:r>
    </w:p>
    <w:p>
      <w:pPr>
        <w:widowControl/>
        <w:spacing w:line="600" w:lineRule="exact"/>
        <w:ind w:firstLine="643"/>
        <w:rPr>
          <w:rFonts w:hint="eastAsia" w:ascii="仿宋_GB2312" w:hAnsi="仿宋_GB2312" w:eastAsia="仿宋_GB2312" w:cs="仿宋_GB2312"/>
          <w:b/>
          <w:bCs/>
          <w:color w:val="000000"/>
          <w:spacing w:val="15"/>
          <w:kern w:val="0"/>
          <w:sz w:val="28"/>
          <w:szCs w:val="28"/>
        </w:rPr>
      </w:pPr>
      <w:r>
        <w:rPr>
          <w:rFonts w:hint="eastAsia" w:ascii="仿宋_GB2312" w:hAnsi="仿宋_GB2312" w:eastAsia="仿宋_GB2312" w:cs="仿宋_GB2312"/>
          <w:b/>
          <w:bCs/>
          <w:color w:val="000000"/>
          <w:spacing w:val="15"/>
          <w:kern w:val="0"/>
          <w:sz w:val="28"/>
          <w:szCs w:val="28"/>
        </w:rPr>
        <w:t>三、考核程序</w:t>
      </w:r>
    </w:p>
    <w:p>
      <w:pPr>
        <w:widowControl/>
        <w:spacing w:line="600" w:lineRule="exact"/>
        <w:ind w:firstLine="643"/>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color w:val="000000"/>
          <w:spacing w:val="15"/>
          <w:kern w:val="0"/>
          <w:sz w:val="28"/>
          <w:szCs w:val="28"/>
        </w:rPr>
        <w:t>1.填写《任期考核登记表》。考核对象要按照考核内容的要求，认真总结个人在2020年至2022年任期内履行岗位职责情况以及学习、思想、作风和廉洁自律等方面的情况，填写《任期考核登记表》。</w:t>
      </w:r>
    </w:p>
    <w:p>
      <w:pPr>
        <w:widowControl/>
        <w:spacing w:line="600" w:lineRule="exact"/>
        <w:ind w:firstLine="643"/>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color w:val="000000"/>
          <w:spacing w:val="15"/>
          <w:kern w:val="0"/>
          <w:sz w:val="28"/>
          <w:szCs w:val="28"/>
        </w:rPr>
        <w:t>2.民主测评。被测评对象</w:t>
      </w:r>
      <w:r>
        <w:rPr>
          <w:rFonts w:hint="eastAsia" w:ascii="仿宋_GB2312" w:hAnsi="仿宋_GB2312" w:eastAsia="仿宋_GB2312" w:cs="仿宋_GB2312"/>
          <w:color w:val="000000"/>
          <w:spacing w:val="15"/>
          <w:kern w:val="0"/>
          <w:sz w:val="28"/>
          <w:szCs w:val="28"/>
          <w:lang w:val="en-US" w:eastAsia="zh-CN"/>
        </w:rPr>
        <w:t>为主管岗管理人员（原管理岗六级 ）。</w:t>
      </w:r>
      <w:r>
        <w:rPr>
          <w:rFonts w:hint="eastAsia" w:ascii="仿宋_GB2312" w:hAnsi="仿宋_GB2312" w:eastAsia="仿宋_GB2312" w:cs="仿宋_GB2312"/>
          <w:color w:val="000000"/>
          <w:spacing w:val="15"/>
          <w:kern w:val="0"/>
          <w:sz w:val="28"/>
          <w:szCs w:val="28"/>
        </w:rPr>
        <w:t>参加测评</w:t>
      </w:r>
      <w:r>
        <w:rPr>
          <w:rFonts w:hint="eastAsia" w:ascii="仿宋_GB2312" w:hAnsi="仿宋_GB2312" w:eastAsia="仿宋_GB2312" w:cs="仿宋_GB2312"/>
          <w:color w:val="000000"/>
          <w:spacing w:val="15"/>
          <w:kern w:val="0"/>
          <w:sz w:val="28"/>
          <w:szCs w:val="28"/>
          <w:lang w:val="en-US" w:eastAsia="zh-CN"/>
        </w:rPr>
        <w:t>打分</w:t>
      </w:r>
      <w:r>
        <w:rPr>
          <w:rFonts w:hint="eastAsia" w:ascii="仿宋_GB2312" w:hAnsi="仿宋_GB2312" w:eastAsia="仿宋_GB2312" w:cs="仿宋_GB2312"/>
          <w:color w:val="000000"/>
          <w:spacing w:val="15"/>
          <w:kern w:val="0"/>
          <w:sz w:val="28"/>
          <w:szCs w:val="28"/>
        </w:rPr>
        <w:t>的人员为：中心党政班子成员、内设中心副主任及以上管理人员、党支部委员（多重职务不重复打分）。测评方式为：参加测评人员依据被测评对象的履职情况和平时了解掌握的情况，客观公正地评分。</w:t>
      </w:r>
    </w:p>
    <w:p>
      <w:pPr>
        <w:spacing w:line="600" w:lineRule="exact"/>
        <w:ind w:firstLine="62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pacing w:val="15"/>
          <w:kern w:val="0"/>
          <w:sz w:val="28"/>
          <w:szCs w:val="28"/>
        </w:rPr>
        <w:t>3.确定等次。测评结果以加权平均的办法计算分数，其中党政领导班子成员的权重系数为50%，内设中心副主任以上人员的权重系数为30%，党支部委员的权重系数为20%。中心党政联席会议根据测评情况并结合管理人员全年实际表现，确定考核等次，</w:t>
      </w:r>
      <w:r>
        <w:rPr>
          <w:rFonts w:hint="eastAsia" w:ascii="仿宋_GB2312" w:hAnsi="仿宋_GB2312" w:eastAsia="仿宋_GB2312" w:cs="仿宋_GB2312"/>
          <w:color w:val="000000"/>
          <w:sz w:val="28"/>
          <w:szCs w:val="28"/>
        </w:rPr>
        <w:t>考核等次分为优秀、称职、不称职，</w:t>
      </w:r>
      <w:r>
        <w:rPr>
          <w:rFonts w:hint="eastAsia" w:ascii="仿宋_GB2312" w:hAnsi="仿宋_GB2312" w:eastAsia="仿宋_GB2312" w:cs="仿宋_GB2312"/>
          <w:color w:val="000000"/>
          <w:spacing w:val="15"/>
          <w:kern w:val="0"/>
          <w:sz w:val="28"/>
          <w:szCs w:val="28"/>
        </w:rPr>
        <w:t>其中优秀等次比例控制在15%以内，不称职比例控制在1</w:t>
      </w:r>
      <w:r>
        <w:rPr>
          <w:rFonts w:ascii="仿宋_GB2312" w:hAnsi="仿宋_GB2312" w:eastAsia="仿宋_GB2312" w:cs="仿宋_GB2312"/>
          <w:color w:val="000000"/>
          <w:spacing w:val="15"/>
          <w:kern w:val="0"/>
          <w:sz w:val="28"/>
          <w:szCs w:val="28"/>
        </w:rPr>
        <w:t>5</w:t>
      </w:r>
      <w:r>
        <w:rPr>
          <w:rFonts w:hint="eastAsia" w:ascii="仿宋_GB2312" w:hAnsi="仿宋_GB2312" w:eastAsia="仿宋_GB2312" w:cs="仿宋_GB2312"/>
          <w:color w:val="000000"/>
          <w:spacing w:val="15"/>
          <w:kern w:val="0"/>
          <w:sz w:val="28"/>
          <w:szCs w:val="28"/>
        </w:rPr>
        <w:t>%。</w:t>
      </w:r>
    </w:p>
    <w:p>
      <w:pPr>
        <w:widowControl/>
        <w:spacing w:line="600" w:lineRule="exact"/>
        <w:ind w:firstLine="643"/>
        <w:rPr>
          <w:rFonts w:hint="eastAsia" w:ascii="仿宋_GB2312" w:hAnsi="仿宋_GB2312" w:eastAsia="仿宋_GB2312" w:cs="仿宋_GB2312"/>
          <w:color w:val="000000"/>
          <w:spacing w:val="15"/>
          <w:kern w:val="0"/>
          <w:sz w:val="28"/>
          <w:szCs w:val="28"/>
        </w:rPr>
      </w:pPr>
      <w:r>
        <w:rPr>
          <w:rFonts w:hint="eastAsia" w:ascii="仿宋_GB2312" w:hAnsi="仿宋_GB2312" w:eastAsia="仿宋_GB2312" w:cs="仿宋_GB2312"/>
          <w:b/>
          <w:bCs/>
          <w:color w:val="000000"/>
          <w:spacing w:val="15"/>
          <w:kern w:val="0"/>
          <w:sz w:val="28"/>
          <w:szCs w:val="28"/>
        </w:rPr>
        <w:t>四、</w:t>
      </w:r>
      <w:r>
        <w:rPr>
          <w:rFonts w:hint="eastAsia" w:ascii="仿宋_GB2312" w:hAnsi="仿宋_GB2312" w:eastAsia="仿宋_GB2312" w:cs="仿宋_GB2312"/>
          <w:b/>
          <w:kern w:val="0"/>
          <w:sz w:val="28"/>
          <w:szCs w:val="28"/>
        </w:rPr>
        <w:t>考核结果及其运用</w:t>
      </w:r>
    </w:p>
    <w:p>
      <w:pPr>
        <w:widowControl/>
        <w:shd w:val="clear" w:color="auto" w:fill="FFFFFF"/>
        <w:spacing w:before="100" w:after="150" w:line="6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1.考核结果作为管理人员使用、晋升的依据，中心办公室按照规定将主管岗人员考核登记表和考核结果存档。</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2.</w:t>
      </w:r>
      <w:r>
        <w:rPr>
          <w:rFonts w:hint="eastAsia" w:ascii="仿宋_GB2312" w:hAnsi="仿宋_GB2312" w:eastAsia="仿宋_GB2312" w:cs="仿宋_GB2312"/>
          <w:sz w:val="28"/>
          <w:szCs w:val="28"/>
        </w:rPr>
        <w:t>考核等次被确定为优秀的，具有续聘、晋升职务的资格，有被优先推荐为学校和中心级先进个人资格；被确定为称职的，</w:t>
      </w:r>
      <w:r>
        <w:rPr>
          <w:rFonts w:hint="eastAsia" w:ascii="仿宋_GB2312" w:hAnsi="仿宋_GB2312" w:eastAsia="仿宋_GB2312" w:cs="仿宋_GB2312"/>
          <w:sz w:val="28"/>
          <w:szCs w:val="28"/>
          <w:lang w:val="en-US" w:eastAsia="zh-CN"/>
        </w:rPr>
        <w:t>具有续聘、晋升职务的资格</w:t>
      </w:r>
      <w:r>
        <w:rPr>
          <w:rFonts w:hint="eastAsia" w:ascii="仿宋_GB2312" w:hAnsi="仿宋_GB2312" w:eastAsia="仿宋_GB2312" w:cs="仿宋_GB2312"/>
          <w:sz w:val="28"/>
          <w:szCs w:val="28"/>
        </w:rPr>
        <w:t>；被确定为不称职的予以解聘。</w:t>
      </w:r>
    </w:p>
    <w:p>
      <w:pPr>
        <w:widowControl/>
        <w:shd w:val="clear" w:color="auto" w:fill="FFFFFF"/>
        <w:spacing w:line="600" w:lineRule="exact"/>
        <w:ind w:firstLine="562" w:firstLineChars="200"/>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sz w:val="28"/>
          <w:szCs w:val="28"/>
        </w:rPr>
        <w:t>五、</w:t>
      </w:r>
      <w:r>
        <w:rPr>
          <w:rFonts w:hint="eastAsia" w:ascii="仿宋_GB2312" w:hAnsi="仿宋_GB2312" w:eastAsia="仿宋_GB2312" w:cs="仿宋_GB2312"/>
          <w:b/>
          <w:kern w:val="0"/>
          <w:sz w:val="28"/>
          <w:szCs w:val="28"/>
        </w:rPr>
        <w:t>时间安排</w:t>
      </w:r>
    </w:p>
    <w:p>
      <w:pPr>
        <w:widowControl/>
        <w:shd w:val="clear" w:color="auto" w:fill="FFFFFF"/>
        <w:spacing w:line="600" w:lineRule="exact"/>
        <w:ind w:firstLine="560" w:firstLineChars="200"/>
        <w:jc w:val="left"/>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8"/>
          <w:szCs w:val="28"/>
        </w:rPr>
        <w:t>考核对象在8月12日前撰写好述职报告，并将电子版（直接以本人姓名为文件名）发至中心办公室邮箱：</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"mailto:achqbgs@163.com；集团拟定于 8月20-21" </w:instrText>
      </w:r>
      <w:r>
        <w:rPr>
          <w:rFonts w:hint="eastAsia" w:ascii="仿宋_GB2312" w:hAnsi="仿宋_GB2312" w:eastAsia="仿宋_GB2312" w:cs="仿宋_GB2312"/>
          <w:kern w:val="0"/>
          <w:sz w:val="28"/>
          <w:szCs w:val="28"/>
        </w:rPr>
        <w:fldChar w:fldCharType="separate"/>
      </w:r>
      <w:r>
        <w:rPr>
          <w:rStyle w:val="11"/>
          <w:rFonts w:hint="eastAsia" w:ascii="仿宋_GB2312" w:hAnsi="仿宋_GB2312" w:eastAsia="仿宋_GB2312" w:cs="仿宋_GB2312"/>
          <w:kern w:val="0"/>
          <w:sz w:val="28"/>
          <w:szCs w:val="28"/>
        </w:rPr>
        <w:t>achqbgs@1</w:t>
      </w:r>
      <w:r>
        <w:rPr>
          <w:rStyle w:val="11"/>
          <w:rFonts w:hint="eastAsia" w:ascii="仿宋_GB2312" w:hAnsi="仿宋_GB2312" w:eastAsia="仿宋_GB2312" w:cs="仿宋_GB2312"/>
          <w:kern w:val="0"/>
          <w:sz w:val="28"/>
          <w:szCs w:val="28"/>
          <w:lang w:eastAsia="zh-CN"/>
        </w:rPr>
        <w:t>26</w:t>
      </w:r>
      <w:r>
        <w:rPr>
          <w:rStyle w:val="11"/>
          <w:rFonts w:hint="eastAsia" w:ascii="仿宋_GB2312" w:hAnsi="仿宋_GB2312" w:eastAsia="仿宋_GB2312" w:cs="仿宋_GB2312"/>
          <w:kern w:val="0"/>
          <w:sz w:val="28"/>
          <w:szCs w:val="28"/>
        </w:rPr>
        <w:t>.com；</w:t>
      </w:r>
      <w:r>
        <w:rPr>
          <w:rStyle w:val="11"/>
          <w:rFonts w:hint="eastAsia" w:ascii="仿宋_GB2312" w:hAnsi="仿宋_GB2312" w:eastAsia="仿宋_GB2312" w:cs="仿宋_GB2312"/>
          <w:color w:val="auto"/>
          <w:kern w:val="0"/>
          <w:sz w:val="28"/>
          <w:szCs w:val="28"/>
          <w:u w:val="none"/>
        </w:rPr>
        <w:t xml:space="preserve">中心拟定于8月 </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13日组织召开会议对主管岗人员进行民主测评。</w:t>
      </w:r>
    </w:p>
    <w:p>
      <w:pPr>
        <w:widowControl/>
        <w:shd w:val="clear" w:color="auto" w:fill="FFFFFF"/>
        <w:spacing w:line="600" w:lineRule="exact"/>
        <w:ind w:firstLine="480"/>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六、其他要求</w:t>
      </w:r>
    </w:p>
    <w:p>
      <w:pPr>
        <w:widowControl/>
        <w:shd w:val="clear" w:color="auto" w:fill="FFFFFF"/>
        <w:spacing w:line="600" w:lineRule="exact"/>
        <w:ind w:firstLine="48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内设机构接到通知后，要将通知精神及时传达，同时要求每位考核对象高度重视，认真填写《任期考核登记表》（见附件1，《登记表》内的“本人述职报告（总结）”部分注意精简，不要超格，A4纸正反面打印），做好相关准备工作，并将《任期考核登记表》于 8月12日前由各内设机构统一报中心办公室。</w:t>
      </w:r>
    </w:p>
    <w:p>
      <w:pPr>
        <w:widowControl/>
        <w:shd w:val="clear" w:color="auto" w:fill="FFFFFF"/>
        <w:spacing w:line="6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特此通知。</w:t>
      </w:r>
    </w:p>
    <w:p>
      <w:pPr>
        <w:widowControl/>
        <w:shd w:val="clear" w:color="auto" w:fill="FFFFFF"/>
        <w:spacing w:line="600" w:lineRule="exact"/>
        <w:jc w:val="left"/>
        <w:rPr>
          <w:rFonts w:hint="eastAsia" w:ascii="仿宋_GB2312" w:hAnsi="仿宋_GB2312" w:eastAsia="仿宋_GB2312" w:cs="仿宋_GB2312"/>
          <w:kern w:val="0"/>
          <w:sz w:val="28"/>
          <w:szCs w:val="28"/>
        </w:rPr>
      </w:pPr>
    </w:p>
    <w:p>
      <w:pPr>
        <w:widowControl/>
        <w:shd w:val="clear" w:color="auto" w:fill="FFFFFF"/>
        <w:spacing w:line="6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附件：1.《任期考核登记表》</w:t>
      </w:r>
    </w:p>
    <w:p>
      <w:pPr>
        <w:widowControl/>
        <w:shd w:val="clear" w:color="auto" w:fill="FFFFFF"/>
        <w:spacing w:line="600" w:lineRule="exact"/>
        <w:jc w:val="left"/>
        <w:rPr>
          <w:rFonts w:hint="eastAsia" w:ascii="仿宋_GB2312" w:hAnsi="仿宋_GB2312" w:eastAsia="仿宋_GB2312" w:cs="仿宋_GB2312"/>
          <w:kern w:val="0"/>
          <w:sz w:val="28"/>
          <w:szCs w:val="28"/>
        </w:rPr>
      </w:pPr>
    </w:p>
    <w:p>
      <w:pPr>
        <w:widowControl/>
        <w:shd w:val="clear" w:color="auto" w:fill="FFFFFF"/>
        <w:spacing w:line="600" w:lineRule="exact"/>
        <w:ind w:firstLine="4900" w:firstLineChars="1750"/>
        <w:jc w:val="left"/>
        <w:rPr>
          <w:rFonts w:hint="eastAsia" w:ascii="仿宋_GB2312" w:hAnsi="仿宋_GB2312" w:eastAsia="仿宋_GB2312" w:cs="仿宋_GB2312"/>
          <w:kern w:val="0"/>
          <w:sz w:val="28"/>
          <w:szCs w:val="28"/>
        </w:rPr>
      </w:pPr>
    </w:p>
    <w:p>
      <w:pPr>
        <w:widowControl/>
        <w:shd w:val="clear" w:color="auto" w:fill="FFFFFF"/>
        <w:spacing w:line="600" w:lineRule="exact"/>
        <w:ind w:firstLine="5600" w:firstLineChars="20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后勤管理服务中心党总支</w:t>
      </w:r>
    </w:p>
    <w:p>
      <w:pPr>
        <w:widowControl/>
        <w:shd w:val="clear" w:color="auto" w:fill="FFFFFF"/>
        <w:spacing w:line="600" w:lineRule="exact"/>
        <w:ind w:firstLine="6160" w:firstLineChars="2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2023年 8月 7日</w:t>
      </w:r>
    </w:p>
    <w:sectPr>
      <w:head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ZjJkNTc2NTg4ZWQ3MjJlODhlNTZkY2I3MDk5N2EifQ=="/>
  </w:docVars>
  <w:rsids>
    <w:rsidRoot w:val="00000000"/>
    <w:rsid w:val="3B2F7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character" w:customStyle="1" w:styleId="13">
    <w:name w:val="批注文字 Char"/>
    <w:link w:val="2"/>
    <w:qFormat/>
    <w:uiPriority w:val="0"/>
    <w:rPr>
      <w:kern w:val="2"/>
      <w:sz w:val="21"/>
      <w:szCs w:val="24"/>
    </w:rPr>
  </w:style>
  <w:style w:type="character" w:customStyle="1" w:styleId="14">
    <w:name w:val="批注主题 Char"/>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1058</Words>
  <Characters>1110</Characters>
  <Lines>8</Lines>
  <Paragraphs>2</Paragraphs>
  <TotalTime>5</TotalTime>
  <ScaleCrop>false</ScaleCrop>
  <LinksUpToDate>false</LinksUpToDate>
  <CharactersWithSpaces>1115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2023-08-07T19:17:00Z</dcterms:created>
  <dc:creator>微软用户</dc:creator>
  <cp:lastModifiedBy>噯吥Ｔin</cp:lastModifiedBy>
  <cp:lastPrinted>2018-01-19T11:08:00Z</cp:lastPrinted>
  <dcterms:modified xsi:type="dcterms:W3CDTF">2023-08-11T02:08:39Z</dcterms:modified>
  <dc:title>安徽财经大学后勤服务集团文件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102AB73EF36B4B7AAC31A85571503BFF_13</vt:lpwstr>
  </property>
</Properties>
</file>